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 xml:space="preserve">AWMA membership continues to grow year over year. We have a current total (as of 10/23/2020) of 432 active members. Last year, we had 376. This is excellent growth considering COVID-19 and the cancelation of most, if not all, events. There have been 4 new IGP 3 Club members and 86 scorebooks issued. Some of these are still USCA transfers, but we are seeing much less so than last year.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We’ve upgraded our membership and scorebook applications to use Jotform. We move away from the Zooza platform, as many members were not able to receive emails from Zooza and had issues joining and renewing memberships. For emails, we now use Mailchimp. So far, there have only been a few errors with this platform and they have all been resolved completely to my knowledge.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This year has certainly seen many challenges with the pandemic, elections and economic downturn. I am pleased to report that AWMA’s membership continues to grow despite these difficulties, and people are still out training their dogs and competing when they can. Hopefully, 2021 will be even more prosperous for AWMA and its members!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